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ascii="黑体" w:hAnsi="黑体" w:eastAsia="黑体" w:cs="黑体"/>
          <w:b/>
          <w:color w:val="000000"/>
          <w:sz w:val="30"/>
        </w:rPr>
        <w:t xml:space="preserve"> </w:t>
      </w:r>
    </w:p>
    <w:p>
      <w:pPr>
        <w:jc w:val="center"/>
        <w:outlineLvl w:val="4"/>
      </w:pPr>
      <w:r>
        <w:rPr>
          <w:rFonts w:ascii="方正小标宋_GBK" w:hAnsi="方正小标宋_GBK" w:eastAsia="方正小标宋_GBK" w:cs="方正小标宋_GBK"/>
          <w:color w:val="000000"/>
          <w:sz w:val="44"/>
        </w:rPr>
        <w:t>河北省沧州市渤海公证处2024年单位预算信息公开情况说明</w:t>
      </w:r>
    </w:p>
    <w:p>
      <w:pPr>
        <w:spacing w:line="500" w:lineRule="exact"/>
        <w:ind w:firstLine="560"/>
      </w:pPr>
      <w:r>
        <w:rPr>
          <w:rFonts w:eastAsia="方正仿宋_GBK" w:cs="Times New Roman"/>
          <w:color w:val="000000"/>
          <w:sz w:val="28"/>
        </w:rPr>
        <w:t>按照《中华人民共和国预算法》、《地方预决算公开操作规程》和《关于进一步推进预算公开工作的实施意见》规定，现将河北省沧州市渤海公证处2024年单位预算公开如下：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17"/>
      </w:pPr>
      <w:r>
        <w:t>公证机关的职责市办理各类公证事务和相关的法律事务，为社会</w:t>
      </w:r>
      <w:bookmarkStart w:id="0" w:name="_GoBack"/>
      <w:bookmarkEnd w:id="0"/>
      <w:r>
        <w:t>提供法律服务和法律保障，引导公民、法人正确设立、变更或者终止法律行为，维护经济秩序和社会主义法制，预防纠纷，减少诉讼，制止不法行为，保护国家利益和公民、法人的合法权益，促进社会安定团结和现代化建设事业的顺利进行。</w:t>
      </w:r>
    </w:p>
    <w:p>
      <w:pPr>
        <w:pStyle w:val="17"/>
      </w:pPr>
      <w:r>
        <w:t>（</w:t>
      </w:r>
      <w:r>
        <w:rPr>
          <w:rFonts w:hint="eastAsia"/>
          <w:lang w:eastAsia="zh-CN"/>
        </w:rPr>
        <w:t>一</w:t>
      </w:r>
      <w:r>
        <w:t>）办理公证事务，出具公证证明。如继承权公证，公证合同，收养，遗嘱等法律行为，公证学历，出生，亲属关系等由法律意义的事实和文书，赋予债权文书具有强制执行效力，办理保全证据和提存公证。</w:t>
      </w:r>
    </w:p>
    <w:p>
      <w:pPr>
        <w:pStyle w:val="17"/>
      </w:pPr>
      <w:r>
        <w:t>（</w:t>
      </w:r>
      <w:r>
        <w:rPr>
          <w:rFonts w:hint="eastAsia"/>
          <w:lang w:eastAsia="zh-CN"/>
        </w:rPr>
        <w:t>二</w:t>
      </w:r>
      <w:r>
        <w:t>）向社会提供法律服务，处办理公证事务外，公证法律服务的内容还包括：解答法律咨询，代写法律文书，代当事人保管遗嘱，文件和其他贵重物品，清点、封存遗产，调解公证事项的纠纷，应邀参与当事人之间的谈判和其他经济活动，进行回访监督，提出公证建议，担任法律顾问，代办与公证相关的法律手续等。</w:t>
      </w:r>
    </w:p>
    <w:p>
      <w:pPr>
        <w:pStyle w:val="17"/>
      </w:pPr>
      <w:r>
        <w:t>（</w:t>
      </w:r>
      <w:r>
        <w:rPr>
          <w:rFonts w:hint="eastAsia"/>
          <w:lang w:eastAsia="zh-CN"/>
        </w:rPr>
        <w:t>三</w:t>
      </w:r>
      <w:r>
        <w:t>）对社会性活动实施法律监督，如对招标投标、拍卖、面向社会的各类有奖活动、社会性评选活动、社会性竞赛活动、商品的抽样检测、股份公司创立大会、股东大会等与公众或社会经济生活有密切关系的社会活动进行公证监督，以维护正常的经济秩序。</w:t>
      </w:r>
    </w:p>
    <w:p>
      <w:pPr>
        <w:pStyle w:val="17"/>
      </w:pPr>
      <w:r>
        <w:t>（</w:t>
      </w:r>
      <w:r>
        <w:rPr>
          <w:rFonts w:hint="eastAsia"/>
          <w:lang w:eastAsia="zh-CN"/>
        </w:rPr>
        <w:t>四</w:t>
      </w:r>
      <w:r>
        <w:t>）普及法律知识，宣传社会主义法制，教育公民、法人和其他组织遵守法律，维护社会秩序。</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河北省沧州市渤海公证处</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18"/>
      </w:pPr>
      <w:r>
        <w:t>按照预算管理有关规定，目前单位预算的编制实行综合预算管理，即全部收入和支出都反映在预算中。</w:t>
      </w:r>
    </w:p>
    <w:p>
      <w:pPr>
        <w:pStyle w:val="18"/>
      </w:pPr>
      <w:r>
        <w:t>1、收入说明</w:t>
      </w:r>
    </w:p>
    <w:p>
      <w:pPr>
        <w:pStyle w:val="18"/>
      </w:pPr>
      <w:r>
        <w:t>反映本单位当年全部收入。2024年预算收入430.00万元，其中：一般公共预算收入130.00万元，基金预算收入0.00万元，国有资本经营预算收入0.00万元，财政专户核拨收入0.00万元，单位资金收入300.00万元，上年结转结余0.00万元。</w:t>
      </w:r>
    </w:p>
    <w:p>
      <w:pPr>
        <w:pStyle w:val="18"/>
      </w:pPr>
      <w:r>
        <w:t>2、支出说明</w:t>
      </w:r>
    </w:p>
    <w:p>
      <w:pPr>
        <w:pStyle w:val="18"/>
      </w:pPr>
      <w:r>
        <w:t>收支预算总表支出栏、基本支出表、项目支出表按经济分类和支出功能分类科目编制，反映河北省沧州市渤海公证处</w:t>
      </w:r>
      <w:r>
        <w:rPr>
          <w:rFonts w:hint="eastAsia"/>
          <w:lang w:eastAsia="zh-CN"/>
        </w:rPr>
        <w:t>2024</w:t>
      </w:r>
      <w:r>
        <w:t>年度单位预算中支出预算的总体情况。2024年支出预算430.00万元，其中基本支出300.00万元，包括人员经费40.00万元和日常公用经费260.00万元；项目支出130.00万元，主要为</w:t>
      </w:r>
      <w:r>
        <w:rPr>
          <w:rFonts w:hint="eastAsia"/>
          <w:lang w:eastAsia="zh-CN"/>
        </w:rPr>
        <w:t>定额补助项目</w:t>
      </w:r>
      <w:r>
        <w:t>。</w:t>
      </w:r>
    </w:p>
    <w:p>
      <w:pPr>
        <w:pStyle w:val="18"/>
      </w:pPr>
      <w:r>
        <w:t>3、比上年增减情况</w:t>
      </w:r>
    </w:p>
    <w:p>
      <w:pPr>
        <w:pStyle w:val="18"/>
        <w:rPr>
          <w:lang w:eastAsia="zh-CN"/>
        </w:rPr>
      </w:pPr>
      <w:r>
        <w:t>2024年预算收支安排430.00万元，较2023年预算增加265.00万元，其中：基本支出增加265.00万元，主要为人员经费</w:t>
      </w:r>
      <w:r>
        <w:rPr>
          <w:rFonts w:hint="eastAsia"/>
          <w:lang w:eastAsia="zh-CN"/>
        </w:rPr>
        <w:t>增加</w:t>
      </w:r>
      <w:r>
        <w:t>35万元，日常</w:t>
      </w:r>
      <w:r>
        <w:rPr>
          <w:rFonts w:hint="eastAsia"/>
          <w:lang w:eastAsia="zh-CN"/>
        </w:rPr>
        <w:t>公</w:t>
      </w:r>
      <w:r>
        <w:t>用经费</w:t>
      </w:r>
      <w:r>
        <w:rPr>
          <w:rFonts w:hint="eastAsia"/>
          <w:lang w:eastAsia="zh-CN"/>
        </w:rPr>
        <w:t>增加</w:t>
      </w:r>
      <w:r>
        <w:t>230万元</w:t>
      </w:r>
      <w:r>
        <w:rPr>
          <w:rFonts w:hint="eastAsia"/>
          <w:lang w:eastAsia="zh-CN"/>
        </w:rPr>
        <w:t>；</w:t>
      </w:r>
      <w:r>
        <w:t>项目支出增加0.00万元，</w:t>
      </w:r>
      <w:r>
        <w:rPr>
          <w:rFonts w:hint="eastAsia"/>
          <w:lang w:eastAsia="zh-CN"/>
        </w:rPr>
        <w:t>与2023年持平，</w:t>
      </w:r>
      <w:r>
        <w:t>无增减变化</w:t>
      </w:r>
      <w:r>
        <w:rPr>
          <w:rFonts w:hint="eastAsia"/>
          <w:lang w:eastAsia="zh-CN"/>
        </w:rPr>
        <w:t>。</w:t>
      </w:r>
    </w:p>
    <w:p>
      <w:pPr>
        <w:spacing w:before="10" w:after="10"/>
        <w:ind w:firstLine="640"/>
        <w:outlineLvl w:val="5"/>
      </w:pPr>
      <w:r>
        <w:rPr>
          <w:rFonts w:ascii="黑体" w:hAnsi="黑体" w:eastAsia="黑体" w:cs="黑体"/>
          <w:color w:val="000000"/>
          <w:sz w:val="32"/>
        </w:rPr>
        <w:t>三、机关运行经费安排情况</w:t>
      </w:r>
    </w:p>
    <w:p>
      <w:pPr>
        <w:pStyle w:val="19"/>
      </w:pPr>
      <w:r>
        <w:t>2024年，我单位运行经费共计安排260万元，主要用于日常维修、办公用房水电费、办公用房取暖费、办公用房物业管理费等日常运行支出。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0"/>
        <w:rPr>
          <w:lang w:eastAsia="zh-CN"/>
        </w:rPr>
      </w:pPr>
      <w:r>
        <w:t>2024年，我单位财政拨款“三公”经费预算安排0.00万元，其中因公出国（境）费0.00万元；公务用车购置及运维费0.00万元（其中：公务用车购置费为0.00万元，公务用车运维费0.00万元)；公务接待费0.00万元。与2023年</w:t>
      </w:r>
      <w:r>
        <w:rPr>
          <w:rFonts w:hint="eastAsia"/>
          <w:lang w:eastAsia="zh-CN"/>
        </w:rPr>
        <w:t>持平，</w:t>
      </w:r>
      <w:r>
        <w:t>无增减变化</w:t>
      </w:r>
      <w:r>
        <w:rPr>
          <w:rFonts w:hint="eastAsia"/>
          <w:lang w:eastAsia="zh-CN"/>
        </w:rPr>
        <w:t>。</w:t>
      </w:r>
    </w:p>
    <w:p>
      <w:pPr>
        <w:spacing w:before="10" w:after="10"/>
        <w:ind w:firstLine="640"/>
        <w:outlineLvl w:val="5"/>
        <w:sectPr>
          <w:footerReference r:id="rId3" w:type="default"/>
          <w:footerReference r:id="rId4" w:type="even"/>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pPr>
        <w:ind w:firstLine="560"/>
      </w:pPr>
      <w:r>
        <w:rPr>
          <w:rFonts w:ascii="方正仿宋_GBK" w:hAnsi="方正仿宋_GBK" w:eastAsia="方正仿宋_GBK" w:cs="方正仿宋_GBK"/>
          <w:b/>
          <w:color w:val="000000"/>
          <w:sz w:val="28"/>
        </w:rPr>
        <w:t>1、渤海公证处2024年定额补助经费绩效目标表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项目编码</w:t>
            </w:r>
          </w:p>
        </w:tc>
        <w:tc>
          <w:tcPr>
            <w:tcW w:w="5102" w:type="dxa"/>
            <w:gridSpan w:val="2"/>
            <w:vAlign w:val="center"/>
          </w:tcPr>
          <w:p>
            <w:pPr>
              <w:pStyle w:val="12"/>
            </w:pPr>
            <w:r>
              <w:t>13090024P000262100026</w:t>
            </w:r>
          </w:p>
        </w:tc>
        <w:tc>
          <w:tcPr>
            <w:tcW w:w="2835" w:type="dxa"/>
            <w:vAlign w:val="center"/>
          </w:tcPr>
          <w:p>
            <w:pPr>
              <w:pStyle w:val="10"/>
            </w:pPr>
            <w:r>
              <w:t>项目名称</w:t>
            </w:r>
          </w:p>
        </w:tc>
        <w:tc>
          <w:tcPr>
            <w:tcW w:w="6094" w:type="dxa"/>
            <w:gridSpan w:val="3"/>
            <w:vAlign w:val="center"/>
          </w:tcPr>
          <w:p>
            <w:pPr>
              <w:pStyle w:val="12"/>
            </w:pPr>
            <w:r>
              <w:t>渤海公证处2024年定额补助经费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预算规模及资金用途</w:t>
            </w:r>
          </w:p>
        </w:tc>
        <w:tc>
          <w:tcPr>
            <w:tcW w:w="2268" w:type="dxa"/>
            <w:vAlign w:val="center"/>
          </w:tcPr>
          <w:p>
            <w:pPr>
              <w:pStyle w:val="10"/>
            </w:pPr>
            <w:r>
              <w:t>预算数</w:t>
            </w:r>
          </w:p>
        </w:tc>
        <w:tc>
          <w:tcPr>
            <w:tcW w:w="2835" w:type="dxa"/>
            <w:vAlign w:val="center"/>
          </w:tcPr>
          <w:p>
            <w:pPr>
              <w:pStyle w:val="12"/>
            </w:pPr>
            <w:r>
              <w:t>130.00</w:t>
            </w:r>
          </w:p>
        </w:tc>
        <w:tc>
          <w:tcPr>
            <w:tcW w:w="2835" w:type="dxa"/>
            <w:vAlign w:val="center"/>
          </w:tcPr>
          <w:p>
            <w:pPr>
              <w:pStyle w:val="10"/>
            </w:pPr>
            <w:r>
              <w:t>其中：财政    资金</w:t>
            </w:r>
          </w:p>
        </w:tc>
        <w:tc>
          <w:tcPr>
            <w:tcW w:w="2551" w:type="dxa"/>
            <w:vAlign w:val="center"/>
          </w:tcPr>
          <w:p>
            <w:pPr>
              <w:pStyle w:val="12"/>
            </w:pPr>
            <w:r>
              <w:t>130.00</w:t>
            </w:r>
          </w:p>
        </w:tc>
        <w:tc>
          <w:tcPr>
            <w:tcW w:w="2268" w:type="dxa"/>
            <w:vAlign w:val="center"/>
          </w:tcPr>
          <w:p>
            <w:pPr>
              <w:pStyle w:val="10"/>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2"/>
            </w:pPr>
            <w:r>
              <w:t>用于发放事业编制人员工资，缴纳事业编制人员保险，购置办公家具、设备、软件、耗材等办公和业务支出。</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0"/>
            </w:pPr>
            <w:r>
              <w:t>资金支出计划（%）</w:t>
            </w:r>
          </w:p>
        </w:tc>
        <w:tc>
          <w:tcPr>
            <w:tcW w:w="5102" w:type="dxa"/>
            <w:gridSpan w:val="2"/>
            <w:vAlign w:val="center"/>
          </w:tcPr>
          <w:p>
            <w:pPr>
              <w:pStyle w:val="10"/>
            </w:pPr>
            <w:r>
              <w:t>3月底</w:t>
            </w:r>
          </w:p>
        </w:tc>
        <w:tc>
          <w:tcPr>
            <w:tcW w:w="2835" w:type="dxa"/>
            <w:vAlign w:val="center"/>
          </w:tcPr>
          <w:p>
            <w:pPr>
              <w:pStyle w:val="10"/>
            </w:pPr>
            <w:r>
              <w:t>6月底</w:t>
            </w:r>
          </w:p>
        </w:tc>
        <w:tc>
          <w:tcPr>
            <w:tcW w:w="2551" w:type="dxa"/>
            <w:vAlign w:val="center"/>
          </w:tcPr>
          <w:p>
            <w:pPr>
              <w:pStyle w:val="10"/>
            </w:pPr>
            <w:r>
              <w:t>10月底</w:t>
            </w:r>
          </w:p>
        </w:tc>
        <w:tc>
          <w:tcPr>
            <w:tcW w:w="3543"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3"/>
              <w:rPr>
                <w:lang w:eastAsia="zh-CN"/>
              </w:rPr>
            </w:pPr>
            <w:r>
              <w:rPr>
                <w:rFonts w:hint="eastAsia"/>
                <w:lang w:eastAsia="zh-CN"/>
              </w:rPr>
              <w:t>46%</w:t>
            </w:r>
          </w:p>
        </w:tc>
        <w:tc>
          <w:tcPr>
            <w:tcW w:w="2835" w:type="dxa"/>
            <w:vAlign w:val="center"/>
          </w:tcPr>
          <w:p>
            <w:pPr>
              <w:pStyle w:val="13"/>
              <w:rPr>
                <w:lang w:eastAsia="zh-CN"/>
              </w:rPr>
            </w:pPr>
            <w:r>
              <w:rPr>
                <w:rFonts w:hint="eastAsia"/>
                <w:lang w:eastAsia="zh-CN"/>
              </w:rPr>
              <w:t>69%</w:t>
            </w:r>
          </w:p>
        </w:tc>
        <w:tc>
          <w:tcPr>
            <w:tcW w:w="2551" w:type="dxa"/>
            <w:vAlign w:val="center"/>
          </w:tcPr>
          <w:p>
            <w:pPr>
              <w:pStyle w:val="13"/>
              <w:rPr>
                <w:lang w:eastAsia="zh-CN"/>
              </w:rPr>
            </w:pPr>
            <w:r>
              <w:rPr>
                <w:rFonts w:hint="eastAsia"/>
                <w:lang w:eastAsia="zh-CN"/>
              </w:rPr>
              <w:t>92%</w:t>
            </w:r>
          </w:p>
        </w:tc>
        <w:tc>
          <w:tcPr>
            <w:tcW w:w="3543" w:type="dxa"/>
            <w:gridSpan w:val="2"/>
            <w:vAlign w:val="center"/>
          </w:tcPr>
          <w:p>
            <w:pPr>
              <w:pStyle w:val="13"/>
              <w:rPr>
                <w:lang w:eastAsia="zh-CN"/>
              </w:rPr>
            </w:pPr>
            <w:r>
              <w:rPr>
                <w:rFonts w:hint="eastAsia"/>
                <w:lang w:eastAsia="zh-CN"/>
              </w:rP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0"/>
            </w:pPr>
            <w:r>
              <w:t>绩效目标</w:t>
            </w:r>
          </w:p>
        </w:tc>
        <w:tc>
          <w:tcPr>
            <w:tcW w:w="14031" w:type="dxa"/>
            <w:gridSpan w:val="6"/>
            <w:vAlign w:val="center"/>
          </w:tcPr>
          <w:p>
            <w:pPr>
              <w:pStyle w:val="12"/>
            </w:pPr>
            <w:r>
              <w:t>1.为进一步加大公证宣传力度，提升群众对于公证的知晓度，进企、进社区、进校园等宣传活动不少于10次。</w:t>
            </w:r>
          </w:p>
          <w:p>
            <w:pPr>
              <w:pStyle w:val="12"/>
            </w:pPr>
            <w:r>
              <w:t>2.为能够为群众提供优质高效的公证法律服务，创新服务方式，使群众对于公证处事项办理满意度达到98%以上。</w:t>
            </w:r>
          </w:p>
          <w:p>
            <w:pPr>
              <w:pStyle w:val="12"/>
            </w:pPr>
            <w:r>
              <w:t>3.为进一步提升公证效率，实现“首问负责制”及“公证事项一次性告知”，达到办理公证时间不超过15个工作日。</w:t>
            </w:r>
          </w:p>
        </w:tc>
      </w:tr>
    </w:tbl>
    <w:p>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5386" w:type="dxa"/>
            <w:vAlign w:val="center"/>
          </w:tcPr>
          <w:p>
            <w:pPr>
              <w:pStyle w:val="10"/>
            </w:pPr>
            <w:r>
              <w:t>绩效指标描述</w:t>
            </w:r>
          </w:p>
        </w:tc>
        <w:tc>
          <w:tcPr>
            <w:tcW w:w="2268" w:type="dxa"/>
            <w:vAlign w:val="center"/>
          </w:tcPr>
          <w:p>
            <w:pPr>
              <w:pStyle w:val="10"/>
            </w:pPr>
            <w:r>
              <w:t>指标值</w:t>
            </w:r>
          </w:p>
        </w:tc>
        <w:tc>
          <w:tcPr>
            <w:tcW w:w="1276"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年度办理公证的件数</w:t>
            </w:r>
          </w:p>
        </w:tc>
        <w:tc>
          <w:tcPr>
            <w:tcW w:w="5386" w:type="dxa"/>
            <w:vAlign w:val="center"/>
          </w:tcPr>
          <w:p>
            <w:pPr>
              <w:pStyle w:val="12"/>
            </w:pPr>
            <w:r>
              <w:t>考察办证件数情况</w:t>
            </w:r>
          </w:p>
        </w:tc>
        <w:tc>
          <w:tcPr>
            <w:tcW w:w="2268" w:type="dxa"/>
            <w:vAlign w:val="center"/>
          </w:tcPr>
          <w:p>
            <w:pPr>
              <w:pStyle w:val="12"/>
            </w:pPr>
            <w:r>
              <w:t>≥1000件</w:t>
            </w:r>
          </w:p>
        </w:tc>
        <w:tc>
          <w:tcPr>
            <w:tcW w:w="1276" w:type="dxa"/>
            <w:vAlign w:val="center"/>
          </w:tcPr>
          <w:p>
            <w:pPr>
              <w:pStyle w:val="12"/>
            </w:pPr>
            <w:r>
              <w:t>依据公证处年度办证计划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质量指标</w:t>
            </w:r>
          </w:p>
        </w:tc>
        <w:tc>
          <w:tcPr>
            <w:tcW w:w="2835" w:type="dxa"/>
            <w:vAlign w:val="center"/>
          </w:tcPr>
          <w:p>
            <w:pPr>
              <w:pStyle w:val="12"/>
            </w:pPr>
            <w:r>
              <w:t>公证处接到投诉与错证率</w:t>
            </w:r>
          </w:p>
        </w:tc>
        <w:tc>
          <w:tcPr>
            <w:tcW w:w="5386" w:type="dxa"/>
            <w:vAlign w:val="center"/>
          </w:tcPr>
          <w:p>
            <w:pPr>
              <w:pStyle w:val="12"/>
            </w:pPr>
            <w:r>
              <w:t>考察公证处的错证与投诉情况</w:t>
            </w:r>
          </w:p>
        </w:tc>
        <w:tc>
          <w:tcPr>
            <w:tcW w:w="2268" w:type="dxa"/>
            <w:vAlign w:val="center"/>
          </w:tcPr>
          <w:p>
            <w:pPr>
              <w:pStyle w:val="12"/>
            </w:pPr>
            <w:r>
              <w:t>≤0.1%</w:t>
            </w:r>
          </w:p>
        </w:tc>
        <w:tc>
          <w:tcPr>
            <w:tcW w:w="1276" w:type="dxa"/>
            <w:vAlign w:val="center"/>
          </w:tcPr>
          <w:p>
            <w:pPr>
              <w:pStyle w:val="12"/>
            </w:pPr>
            <w:r>
              <w:t>依据公证处年度办证计划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时效指标</w:t>
            </w:r>
          </w:p>
        </w:tc>
        <w:tc>
          <w:tcPr>
            <w:tcW w:w="2835" w:type="dxa"/>
            <w:vAlign w:val="center"/>
          </w:tcPr>
          <w:p>
            <w:pPr>
              <w:pStyle w:val="12"/>
            </w:pPr>
            <w:r>
              <w:t>公证书完成出具时间</w:t>
            </w:r>
          </w:p>
        </w:tc>
        <w:tc>
          <w:tcPr>
            <w:tcW w:w="5386" w:type="dxa"/>
            <w:vAlign w:val="center"/>
          </w:tcPr>
          <w:p>
            <w:pPr>
              <w:pStyle w:val="12"/>
            </w:pPr>
            <w:r>
              <w:t>考察办证时限清理</w:t>
            </w:r>
          </w:p>
        </w:tc>
        <w:tc>
          <w:tcPr>
            <w:tcW w:w="2268" w:type="dxa"/>
            <w:vAlign w:val="center"/>
          </w:tcPr>
          <w:p>
            <w:pPr>
              <w:pStyle w:val="12"/>
            </w:pPr>
            <w:r>
              <w:t>≤15工作日</w:t>
            </w:r>
          </w:p>
        </w:tc>
        <w:tc>
          <w:tcPr>
            <w:tcW w:w="1276" w:type="dxa"/>
            <w:vAlign w:val="center"/>
          </w:tcPr>
          <w:p>
            <w:pPr>
              <w:pStyle w:val="12"/>
            </w:pPr>
            <w:r>
              <w:t>依据《公证法》及《公证程序规则》对于公证办证时限要求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2"/>
            </w:pPr>
            <w:r>
              <w:t>成本指标</w:t>
            </w:r>
          </w:p>
        </w:tc>
        <w:tc>
          <w:tcPr>
            <w:tcW w:w="2835" w:type="dxa"/>
            <w:vAlign w:val="center"/>
          </w:tcPr>
          <w:p>
            <w:pPr>
              <w:pStyle w:val="12"/>
            </w:pPr>
            <w:r>
              <w:t>办理公证平均成本</w:t>
            </w:r>
          </w:p>
        </w:tc>
        <w:tc>
          <w:tcPr>
            <w:tcW w:w="5386" w:type="dxa"/>
            <w:vAlign w:val="center"/>
          </w:tcPr>
          <w:p>
            <w:pPr>
              <w:pStyle w:val="12"/>
            </w:pPr>
            <w:r>
              <w:t>考察公证处成本</w:t>
            </w:r>
          </w:p>
        </w:tc>
        <w:tc>
          <w:tcPr>
            <w:tcW w:w="2268" w:type="dxa"/>
            <w:vAlign w:val="center"/>
          </w:tcPr>
          <w:p>
            <w:pPr>
              <w:pStyle w:val="12"/>
            </w:pPr>
            <w:r>
              <w:t>≤1000元</w:t>
            </w:r>
          </w:p>
        </w:tc>
        <w:tc>
          <w:tcPr>
            <w:tcW w:w="1276" w:type="dxa"/>
            <w:vAlign w:val="center"/>
          </w:tcPr>
          <w:p>
            <w:pPr>
              <w:pStyle w:val="12"/>
            </w:pPr>
            <w:r>
              <w:t>依据公证处年度办证计划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矛盾降低率</w:t>
            </w:r>
          </w:p>
        </w:tc>
        <w:tc>
          <w:tcPr>
            <w:tcW w:w="5386" w:type="dxa"/>
            <w:vAlign w:val="center"/>
          </w:tcPr>
          <w:p>
            <w:pPr>
              <w:pStyle w:val="12"/>
            </w:pPr>
            <w:r>
              <w:t>考察社会效益情况</w:t>
            </w:r>
          </w:p>
        </w:tc>
        <w:tc>
          <w:tcPr>
            <w:tcW w:w="2268" w:type="dxa"/>
            <w:vAlign w:val="center"/>
          </w:tcPr>
          <w:p>
            <w:pPr>
              <w:pStyle w:val="12"/>
            </w:pPr>
            <w:r>
              <w:t>≥98%</w:t>
            </w:r>
          </w:p>
        </w:tc>
        <w:tc>
          <w:tcPr>
            <w:tcW w:w="1276" w:type="dxa"/>
            <w:vAlign w:val="center"/>
          </w:tcPr>
          <w:p>
            <w:pPr>
              <w:pStyle w:val="12"/>
            </w:pPr>
            <w:r>
              <w:t>依据公证处年度办证计划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群众对于公证处的满意度</w:t>
            </w:r>
          </w:p>
        </w:tc>
        <w:tc>
          <w:tcPr>
            <w:tcW w:w="5386" w:type="dxa"/>
            <w:vAlign w:val="center"/>
          </w:tcPr>
          <w:p>
            <w:pPr>
              <w:pStyle w:val="12"/>
            </w:pPr>
            <w:r>
              <w:t>考察群众满意度情况</w:t>
            </w:r>
          </w:p>
        </w:tc>
        <w:tc>
          <w:tcPr>
            <w:tcW w:w="2268" w:type="dxa"/>
            <w:vAlign w:val="center"/>
          </w:tcPr>
          <w:p>
            <w:pPr>
              <w:pStyle w:val="12"/>
            </w:pPr>
            <w:r>
              <w:t>≥98%</w:t>
            </w:r>
          </w:p>
        </w:tc>
        <w:tc>
          <w:tcPr>
            <w:tcW w:w="1276" w:type="dxa"/>
            <w:vAlign w:val="center"/>
          </w:tcPr>
          <w:p>
            <w:pPr>
              <w:pStyle w:val="12"/>
            </w:pPr>
            <w:r>
              <w:t>依据公证处年度办证计划</w:t>
            </w:r>
          </w:p>
        </w:tc>
      </w:tr>
    </w:tbl>
    <w:p>
      <w:pPr>
        <w:sectPr>
          <w:pgSz w:w="16840" w:h="11900" w:orient="landscape"/>
          <w:pgMar w:top="1361" w:right="1020" w:bottom="1134"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315005河北省沧州市渤海公证处</w:t>
            </w:r>
          </w:p>
        </w:tc>
        <w:tc>
          <w:tcPr>
            <w:tcW w:w="7710" w:type="dxa"/>
            <w:gridSpan w:val="8"/>
            <w:tcBorders>
              <w:top w:val="single" w:color="FFFFFF" w:sz="6" w:space="0"/>
              <w:left w:val="single" w:color="FFFFFF" w:sz="6" w:space="0"/>
              <w:right w:val="single" w:color="FFFFFF" w:sz="6" w:space="0"/>
            </w:tcBorders>
            <w:vAlign w:val="center"/>
          </w:tcPr>
          <w:p>
            <w:pPr>
              <w:pStyle w:val="2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6746" w:type="dxa"/>
            <w:gridSpan w:val="7"/>
            <w:vAlign w:val="center"/>
          </w:tcPr>
          <w:p>
            <w:pPr>
              <w:pStyle w:val="10"/>
            </w:pPr>
            <w:r>
              <w:t>政府采购金额（当年部门预算安排资金）</w:t>
            </w:r>
          </w:p>
        </w:tc>
        <w:tc>
          <w:tcPr>
            <w:tcW w:w="964"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上年结转结余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1.00</w:t>
            </w:r>
          </w:p>
        </w:tc>
        <w:tc>
          <w:tcPr>
            <w:tcW w:w="964" w:type="dxa"/>
            <w:vAlign w:val="center"/>
          </w:tcPr>
          <w:p>
            <w:pPr>
              <w:pStyle w:val="15"/>
            </w:pPr>
          </w:p>
        </w:tc>
        <w:tc>
          <w:tcPr>
            <w:tcW w:w="964" w:type="dxa"/>
            <w:vAlign w:val="center"/>
          </w:tcPr>
          <w:p>
            <w:pPr>
              <w:pStyle w:val="15"/>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河北省沧州市渤海公证处小计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1.00</w:t>
            </w:r>
          </w:p>
        </w:tc>
        <w:tc>
          <w:tcPr>
            <w:tcW w:w="964" w:type="dxa"/>
            <w:vAlign w:val="center"/>
          </w:tcPr>
          <w:p>
            <w:pPr>
              <w:pStyle w:val="15"/>
            </w:pPr>
          </w:p>
        </w:tc>
        <w:tc>
          <w:tcPr>
            <w:tcW w:w="964" w:type="dxa"/>
            <w:vAlign w:val="center"/>
          </w:tcPr>
          <w:p>
            <w:pPr>
              <w:pStyle w:val="15"/>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公用经费2024项目（三）</w:t>
            </w:r>
          </w:p>
        </w:tc>
        <w:tc>
          <w:tcPr>
            <w:tcW w:w="964" w:type="dxa"/>
            <w:vAlign w:val="center"/>
          </w:tcPr>
          <w:p>
            <w:pPr>
              <w:pStyle w:val="11"/>
            </w:pPr>
            <w:r>
              <w:t>260.00</w:t>
            </w:r>
          </w:p>
        </w:tc>
        <w:tc>
          <w:tcPr>
            <w:tcW w:w="1134" w:type="dxa"/>
            <w:vAlign w:val="center"/>
          </w:tcPr>
          <w:p>
            <w:pPr>
              <w:pStyle w:val="12"/>
            </w:pPr>
            <w:r>
              <w:t>茶几</w:t>
            </w:r>
          </w:p>
        </w:tc>
        <w:tc>
          <w:tcPr>
            <w:tcW w:w="1134" w:type="dxa"/>
            <w:vAlign w:val="center"/>
          </w:tcPr>
          <w:p>
            <w:pPr>
              <w:pStyle w:val="12"/>
            </w:pPr>
            <w:r>
              <w:t>A05010204</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0.12</w:t>
            </w:r>
          </w:p>
        </w:tc>
        <w:tc>
          <w:tcPr>
            <w:tcW w:w="964" w:type="dxa"/>
            <w:vAlign w:val="center"/>
          </w:tcPr>
          <w:p>
            <w:pPr>
              <w:pStyle w:val="11"/>
            </w:pPr>
            <w:r>
              <w:t>0.12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0.12</w:t>
            </w:r>
          </w:p>
        </w:tc>
        <w:tc>
          <w:tcPr>
            <w:tcW w:w="964" w:type="dxa"/>
            <w:vAlign w:val="center"/>
          </w:tcPr>
          <w:p>
            <w:pPr>
              <w:pStyle w:val="11"/>
            </w:pPr>
          </w:p>
        </w:tc>
        <w:tc>
          <w:tcPr>
            <w:tcW w:w="964" w:type="dxa"/>
            <w:vAlign w:val="center"/>
          </w:tcPr>
          <w:p>
            <w:pPr>
              <w:pStyle w:val="11"/>
            </w:pPr>
            <w:r>
              <w:t>0.12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公用经费2024项目（三）</w:t>
            </w:r>
          </w:p>
        </w:tc>
        <w:tc>
          <w:tcPr>
            <w:tcW w:w="964" w:type="dxa"/>
            <w:vAlign w:val="center"/>
          </w:tcPr>
          <w:p>
            <w:pPr>
              <w:pStyle w:val="11"/>
            </w:pPr>
            <w:r>
              <w:t>260.00</w:t>
            </w:r>
          </w:p>
        </w:tc>
        <w:tc>
          <w:tcPr>
            <w:tcW w:w="1134" w:type="dxa"/>
            <w:vAlign w:val="center"/>
          </w:tcPr>
          <w:p>
            <w:pPr>
              <w:pStyle w:val="12"/>
            </w:pPr>
            <w:r>
              <w:t>三人沙发</w:t>
            </w:r>
          </w:p>
        </w:tc>
        <w:tc>
          <w:tcPr>
            <w:tcW w:w="1134" w:type="dxa"/>
            <w:vAlign w:val="center"/>
          </w:tcPr>
          <w:p>
            <w:pPr>
              <w:pStyle w:val="12"/>
            </w:pPr>
            <w:r>
              <w:t>A05010401</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0.19</w:t>
            </w:r>
          </w:p>
        </w:tc>
        <w:tc>
          <w:tcPr>
            <w:tcW w:w="964" w:type="dxa"/>
            <w:vAlign w:val="center"/>
          </w:tcPr>
          <w:p>
            <w:pPr>
              <w:pStyle w:val="11"/>
            </w:pPr>
            <w:r>
              <w:t>0.38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0.38</w:t>
            </w:r>
          </w:p>
        </w:tc>
        <w:tc>
          <w:tcPr>
            <w:tcW w:w="964" w:type="dxa"/>
            <w:vAlign w:val="center"/>
          </w:tcPr>
          <w:p>
            <w:pPr>
              <w:pStyle w:val="11"/>
            </w:pPr>
          </w:p>
        </w:tc>
        <w:tc>
          <w:tcPr>
            <w:tcW w:w="964" w:type="dxa"/>
            <w:vAlign w:val="center"/>
          </w:tcPr>
          <w:p>
            <w:pPr>
              <w:pStyle w:val="11"/>
            </w:pPr>
            <w:r>
              <w:t>0.38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公用经费2024项目（三）</w:t>
            </w:r>
          </w:p>
        </w:tc>
        <w:tc>
          <w:tcPr>
            <w:tcW w:w="964" w:type="dxa"/>
            <w:vAlign w:val="center"/>
          </w:tcPr>
          <w:p>
            <w:pPr>
              <w:pStyle w:val="11"/>
            </w:pPr>
            <w:r>
              <w:t>260.00</w:t>
            </w:r>
          </w:p>
        </w:tc>
        <w:tc>
          <w:tcPr>
            <w:tcW w:w="1134" w:type="dxa"/>
            <w:vAlign w:val="center"/>
          </w:tcPr>
          <w:p>
            <w:pPr>
              <w:pStyle w:val="12"/>
            </w:pPr>
            <w:r>
              <w:t>单人沙发</w:t>
            </w:r>
          </w:p>
        </w:tc>
        <w:tc>
          <w:tcPr>
            <w:tcW w:w="1134" w:type="dxa"/>
            <w:vAlign w:val="center"/>
          </w:tcPr>
          <w:p>
            <w:pPr>
              <w:pStyle w:val="12"/>
            </w:pPr>
            <w:r>
              <w:t>A05010402</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0.09</w:t>
            </w:r>
          </w:p>
        </w:tc>
        <w:tc>
          <w:tcPr>
            <w:tcW w:w="964" w:type="dxa"/>
            <w:vAlign w:val="center"/>
          </w:tcPr>
          <w:p>
            <w:pPr>
              <w:pStyle w:val="11"/>
            </w:pPr>
            <w:r>
              <w:t>0.18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0.18</w:t>
            </w:r>
          </w:p>
        </w:tc>
        <w:tc>
          <w:tcPr>
            <w:tcW w:w="964" w:type="dxa"/>
            <w:vAlign w:val="center"/>
          </w:tcPr>
          <w:p>
            <w:pPr>
              <w:pStyle w:val="11"/>
            </w:pPr>
          </w:p>
        </w:tc>
        <w:tc>
          <w:tcPr>
            <w:tcW w:w="964" w:type="dxa"/>
            <w:vAlign w:val="center"/>
          </w:tcPr>
          <w:p>
            <w:pPr>
              <w:pStyle w:val="11"/>
            </w:pPr>
            <w: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公用经费2024项目（三）</w:t>
            </w:r>
          </w:p>
        </w:tc>
        <w:tc>
          <w:tcPr>
            <w:tcW w:w="964" w:type="dxa"/>
            <w:vAlign w:val="center"/>
          </w:tcPr>
          <w:p>
            <w:pPr>
              <w:pStyle w:val="11"/>
            </w:pPr>
            <w:r>
              <w:t>260.00</w:t>
            </w:r>
          </w:p>
        </w:tc>
        <w:tc>
          <w:tcPr>
            <w:tcW w:w="1134" w:type="dxa"/>
            <w:vAlign w:val="center"/>
          </w:tcPr>
          <w:p>
            <w:pPr>
              <w:pStyle w:val="12"/>
            </w:pPr>
            <w:r>
              <w:t>其他家具</w:t>
            </w:r>
          </w:p>
        </w:tc>
        <w:tc>
          <w:tcPr>
            <w:tcW w:w="1134" w:type="dxa"/>
            <w:vAlign w:val="center"/>
          </w:tcPr>
          <w:p>
            <w:pPr>
              <w:pStyle w:val="12"/>
            </w:pPr>
            <w:r>
              <w:t>A05019900</w:t>
            </w:r>
          </w:p>
        </w:tc>
        <w:tc>
          <w:tcPr>
            <w:tcW w:w="709" w:type="dxa"/>
            <w:vAlign w:val="center"/>
          </w:tcPr>
          <w:p>
            <w:pPr>
              <w:pStyle w:val="13"/>
            </w:pPr>
            <w:r>
              <w:t>套</w:t>
            </w:r>
          </w:p>
        </w:tc>
        <w:tc>
          <w:tcPr>
            <w:tcW w:w="850" w:type="dxa"/>
            <w:vAlign w:val="center"/>
          </w:tcPr>
          <w:p>
            <w:pPr>
              <w:pStyle w:val="11"/>
            </w:pPr>
            <w:r>
              <w:t>4</w:t>
            </w:r>
          </w:p>
        </w:tc>
        <w:tc>
          <w:tcPr>
            <w:tcW w:w="850" w:type="dxa"/>
            <w:vAlign w:val="center"/>
          </w:tcPr>
          <w:p>
            <w:pPr>
              <w:pStyle w:val="11"/>
            </w:pPr>
            <w:r>
              <w:t>0.08</w:t>
            </w:r>
          </w:p>
        </w:tc>
        <w:tc>
          <w:tcPr>
            <w:tcW w:w="964" w:type="dxa"/>
            <w:vAlign w:val="center"/>
          </w:tcPr>
          <w:p>
            <w:pPr>
              <w:pStyle w:val="11"/>
            </w:pPr>
            <w:r>
              <w:t>0.32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0.32</w:t>
            </w:r>
          </w:p>
        </w:tc>
        <w:tc>
          <w:tcPr>
            <w:tcW w:w="964" w:type="dxa"/>
            <w:vAlign w:val="center"/>
          </w:tcPr>
          <w:p>
            <w:pPr>
              <w:pStyle w:val="11"/>
            </w:pPr>
          </w:p>
        </w:tc>
        <w:tc>
          <w:tcPr>
            <w:tcW w:w="964" w:type="dxa"/>
            <w:vAlign w:val="center"/>
          </w:tcPr>
          <w:p>
            <w:pPr>
              <w:pStyle w:val="11"/>
            </w:pPr>
            <w:r>
              <w:t>0.32</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r>
        <w:rPr>
          <w:rFonts w:eastAsia="方正仿宋_GBK" w:cs="Times New Roman"/>
          <w:color w:val="000000"/>
          <w:sz w:val="32"/>
        </w:rPr>
        <w:t xml:space="preserve"> </w:t>
      </w:r>
    </w:p>
    <w:p>
      <w:pPr>
        <w:spacing w:before="10" w:after="10"/>
        <w:outlineLvl w:val="5"/>
        <w:rPr>
          <w:rFonts w:ascii="黑体" w:hAnsi="黑体" w:eastAsia="黑体" w:cs="黑体"/>
          <w:color w:val="000000"/>
          <w:sz w:val="32"/>
        </w:rPr>
      </w:pPr>
    </w:p>
    <w:p>
      <w:pPr>
        <w:spacing w:before="10" w:after="10"/>
        <w:ind w:firstLine="640"/>
        <w:outlineLvl w:val="5"/>
        <w:rPr>
          <w:rFonts w:ascii="黑体" w:hAnsi="黑体" w:eastAsia="黑体" w:cs="黑体"/>
          <w:color w:val="000000"/>
          <w:sz w:val="32"/>
        </w:rPr>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s="Times New Roman"/>
          <w:color w:val="000000"/>
          <w:sz w:val="28"/>
        </w:rPr>
        <w:t>河北省沧州市渤海公证处上年末固定资产金额为15.96万元（详见下表）。本年度拟购置固定资产总额为1.00万元，已按要求列入政府采购预算，详见政府采购预算表。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315005河北省沧州市渤海公证处</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15.96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4、其他固定资产</w:t>
            </w:r>
          </w:p>
        </w:tc>
        <w:tc>
          <w:tcPr>
            <w:tcW w:w="2835" w:type="dxa"/>
            <w:vAlign w:val="center"/>
          </w:tcPr>
          <w:p>
            <w:pPr>
              <w:pStyle w:val="13"/>
            </w:pPr>
            <w:r>
              <w:t>225</w:t>
            </w:r>
          </w:p>
        </w:tc>
        <w:tc>
          <w:tcPr>
            <w:tcW w:w="2835" w:type="dxa"/>
            <w:vAlign w:val="center"/>
          </w:tcPr>
          <w:p>
            <w:pPr>
              <w:pStyle w:val="11"/>
            </w:pPr>
            <w:r>
              <w:t>15.96</w:t>
            </w:r>
          </w:p>
        </w:tc>
      </w:tr>
    </w:tbl>
    <w:p>
      <w:pPr>
        <w:ind w:firstLine="640"/>
      </w:pPr>
      <w:r>
        <w:rPr>
          <w:rFonts w:eastAsia="方正仿宋_GBK" w:cs="Times New Roman"/>
          <w:color w:val="000000"/>
          <w:sz w:val="32"/>
        </w:rPr>
        <w:t xml:space="preserve"> </w:t>
      </w: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s="Times New Roman"/>
          <w:color w:val="000000"/>
          <w:sz w:val="28"/>
        </w:rPr>
        <w:t>1、</w:t>
      </w:r>
      <w:r>
        <w:rPr>
          <w:rFonts w:eastAsia="方正仿宋_GBK" w:cs="Times New Roman"/>
          <w:b/>
          <w:color w:val="000000"/>
          <w:sz w:val="28"/>
        </w:rPr>
        <w:t>财政拨款收入：</w:t>
      </w:r>
      <w:r>
        <w:rPr>
          <w:rFonts w:eastAsia="方正仿宋_GBK" w:cs="Times New Roman"/>
          <w:color w:val="000000"/>
          <w:sz w:val="28"/>
        </w:rPr>
        <w:t>指本级财政当年拨付的资金，包括一般公共预算拨款、政府性基金预算拨款、国有资本经营预算拨款。</w:t>
      </w:r>
    </w:p>
    <w:p>
      <w:pPr>
        <w:spacing w:line="500" w:lineRule="exact"/>
        <w:ind w:firstLine="560"/>
      </w:pPr>
      <w:r>
        <w:rPr>
          <w:rFonts w:eastAsia="方正仿宋_GBK" w:cs="Times New Roman"/>
          <w:color w:val="000000"/>
          <w:sz w:val="28"/>
        </w:rPr>
        <w:t>2、</w:t>
      </w:r>
      <w:r>
        <w:rPr>
          <w:rFonts w:eastAsia="方正仿宋_GBK" w:cs="Times New Roman"/>
          <w:b/>
          <w:color w:val="000000"/>
          <w:sz w:val="28"/>
        </w:rPr>
        <w:t>财政专户管理资金收入：</w:t>
      </w:r>
      <w:r>
        <w:rPr>
          <w:rFonts w:eastAsia="方正仿宋_GBK" w:cs="Times New Roman"/>
          <w:color w:val="000000"/>
          <w:sz w:val="28"/>
        </w:rPr>
        <w:t>缴入财政专户、实行专项管理的教育收费收入。</w:t>
      </w:r>
    </w:p>
    <w:p>
      <w:pPr>
        <w:spacing w:line="500" w:lineRule="exact"/>
        <w:ind w:firstLine="560"/>
      </w:pPr>
      <w:r>
        <w:rPr>
          <w:rFonts w:eastAsia="方正仿宋_GBK" w:cs="Times New Roman"/>
          <w:color w:val="000000"/>
          <w:sz w:val="28"/>
        </w:rPr>
        <w:t>3、</w:t>
      </w:r>
      <w:r>
        <w:rPr>
          <w:rFonts w:eastAsia="方正仿宋_GBK" w:cs="Times New Roman"/>
          <w:b/>
          <w:color w:val="000000"/>
          <w:sz w:val="28"/>
        </w:rPr>
        <w:t>单位资金收入：</w:t>
      </w:r>
      <w:r>
        <w:rPr>
          <w:rFonts w:eastAsia="方正仿宋_GBK" w:cs="Times New Roman"/>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s="Times New Roman"/>
          <w:color w:val="000000"/>
          <w:sz w:val="28"/>
        </w:rPr>
        <w:t>4、</w:t>
      </w:r>
      <w:r>
        <w:rPr>
          <w:rFonts w:eastAsia="方正仿宋_GBK" w:cs="Times New Roman"/>
          <w:b/>
          <w:color w:val="000000"/>
          <w:sz w:val="28"/>
        </w:rPr>
        <w:t>事业收入：</w:t>
      </w:r>
      <w:r>
        <w:rPr>
          <w:rFonts w:eastAsia="方正仿宋_GBK" w:cs="Times New Roman"/>
          <w:color w:val="000000"/>
          <w:sz w:val="28"/>
        </w:rPr>
        <w:t>指事业单位开展专业业务活动及辅助活动所取得的收入。</w:t>
      </w:r>
    </w:p>
    <w:p>
      <w:pPr>
        <w:spacing w:line="500" w:lineRule="exact"/>
        <w:ind w:firstLine="560"/>
      </w:pPr>
      <w:r>
        <w:rPr>
          <w:rFonts w:eastAsia="方正仿宋_GBK" w:cs="Times New Roman"/>
          <w:color w:val="000000"/>
          <w:sz w:val="28"/>
        </w:rPr>
        <w:t>5、</w:t>
      </w:r>
      <w:r>
        <w:rPr>
          <w:rFonts w:eastAsia="方正仿宋_GBK" w:cs="Times New Roman"/>
          <w:b/>
          <w:color w:val="000000"/>
          <w:sz w:val="28"/>
        </w:rPr>
        <w:t>事业单位经营收入：</w:t>
      </w:r>
      <w:r>
        <w:rPr>
          <w:rFonts w:eastAsia="方正仿宋_GBK" w:cs="Times New Roman"/>
          <w:color w:val="000000"/>
          <w:sz w:val="28"/>
        </w:rPr>
        <w:t>指事业单位在专业业务活动及其辅助活动之外开展非独立核算经营活动取得的收入。</w:t>
      </w:r>
    </w:p>
    <w:p>
      <w:pPr>
        <w:spacing w:line="500" w:lineRule="exact"/>
        <w:ind w:firstLine="560"/>
      </w:pPr>
      <w:r>
        <w:rPr>
          <w:rFonts w:eastAsia="方正仿宋_GBK" w:cs="Times New Roman"/>
          <w:color w:val="000000"/>
          <w:sz w:val="28"/>
        </w:rPr>
        <w:t>6、</w:t>
      </w:r>
      <w:r>
        <w:rPr>
          <w:rFonts w:eastAsia="方正仿宋_GBK" w:cs="Times New Roman"/>
          <w:b/>
          <w:color w:val="000000"/>
          <w:sz w:val="28"/>
        </w:rPr>
        <w:t>上年结转：</w:t>
      </w:r>
      <w:r>
        <w:rPr>
          <w:rFonts w:eastAsia="方正仿宋_GBK" w:cs="Times New Roman"/>
          <w:color w:val="000000"/>
          <w:sz w:val="28"/>
        </w:rPr>
        <w:t>指以前年度安排、结转到本年仍按原规定用途继续使用的资金。</w:t>
      </w:r>
    </w:p>
    <w:p>
      <w:pPr>
        <w:spacing w:line="500" w:lineRule="exact"/>
        <w:ind w:firstLine="560"/>
      </w:pPr>
      <w:r>
        <w:rPr>
          <w:rFonts w:eastAsia="方正仿宋_GBK" w:cs="Times New Roman"/>
          <w:color w:val="000000"/>
          <w:sz w:val="28"/>
        </w:rPr>
        <w:t>7、</w:t>
      </w:r>
      <w:r>
        <w:rPr>
          <w:rFonts w:eastAsia="方正仿宋_GBK" w:cs="Times New Roman"/>
          <w:b/>
          <w:color w:val="000000"/>
          <w:sz w:val="28"/>
        </w:rPr>
        <w:t>部门预算支出：</w:t>
      </w:r>
      <w:r>
        <w:rPr>
          <w:rFonts w:eastAsia="方正仿宋_GBK" w:cs="Times New Roman"/>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s="Times New Roman"/>
          <w:color w:val="000000"/>
          <w:sz w:val="28"/>
        </w:rPr>
        <w:t>8、</w:t>
      </w:r>
      <w:r>
        <w:rPr>
          <w:rFonts w:eastAsia="方正仿宋_GBK" w:cs="Times New Roman"/>
          <w:b/>
          <w:color w:val="000000"/>
          <w:sz w:val="28"/>
        </w:rPr>
        <w:t>事业单位经营支出：</w:t>
      </w:r>
      <w:r>
        <w:rPr>
          <w:rFonts w:eastAsia="方正仿宋_GBK" w:cs="Times New Roman"/>
          <w:color w:val="000000"/>
          <w:sz w:val="28"/>
        </w:rPr>
        <w:t>指事业单位在专业业务活动及其辅助活动之外开展非独立核算经营活动发生的支出。</w:t>
      </w:r>
    </w:p>
    <w:p>
      <w:pPr>
        <w:spacing w:line="500" w:lineRule="exact"/>
        <w:ind w:firstLine="560"/>
      </w:pPr>
      <w:r>
        <w:rPr>
          <w:rFonts w:eastAsia="方正仿宋_GBK" w:cs="Times New Roman"/>
          <w:color w:val="000000"/>
          <w:sz w:val="28"/>
        </w:rPr>
        <w:t>9、</w:t>
      </w:r>
      <w:r>
        <w:rPr>
          <w:rFonts w:eastAsia="方正仿宋_GBK" w:cs="Times New Roman"/>
          <w:b/>
          <w:color w:val="000000"/>
          <w:sz w:val="28"/>
        </w:rPr>
        <w:t>“三公”经费：</w:t>
      </w:r>
      <w:r>
        <w:rPr>
          <w:rFonts w:eastAsia="方正仿宋_GBK" w:cs="Times New Roman"/>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s="Times New Roman"/>
          <w:color w:val="000000"/>
          <w:sz w:val="28"/>
        </w:rPr>
        <w:t>10、</w:t>
      </w:r>
      <w:r>
        <w:rPr>
          <w:rFonts w:eastAsia="方正仿宋_GBK" w:cs="Times New Roman"/>
          <w:b/>
          <w:color w:val="000000"/>
          <w:sz w:val="28"/>
        </w:rPr>
        <w:t>机关运行经费：</w:t>
      </w:r>
      <w:r>
        <w:rPr>
          <w:rFonts w:eastAsia="方正仿宋_GBK" w:cs="Times New Roman"/>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pPr>
      <w:r>
        <w:rPr>
          <w:rFonts w:eastAsia="方正仿宋_GBK" w:cs="Times New Roman"/>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NjBmZWFjZmZhYjk5YWZmYTNjZGVkNzVkMTk2MDZhY2QifQ=="/>
  </w:docVars>
  <w:rsids>
    <w:rsidRoot w:val="00465E2E"/>
    <w:rsid w:val="000F7E3E"/>
    <w:rsid w:val="00132E33"/>
    <w:rsid w:val="00465E2E"/>
    <w:rsid w:val="00CB0E8A"/>
    <w:rsid w:val="00E60256"/>
    <w:rsid w:val="00FC611C"/>
    <w:rsid w:val="01180057"/>
    <w:rsid w:val="01192C1F"/>
    <w:rsid w:val="01635C49"/>
    <w:rsid w:val="02126CD3"/>
    <w:rsid w:val="026659F0"/>
    <w:rsid w:val="05353A74"/>
    <w:rsid w:val="068648B3"/>
    <w:rsid w:val="06AE094E"/>
    <w:rsid w:val="077566D6"/>
    <w:rsid w:val="07B248A9"/>
    <w:rsid w:val="088A7F5F"/>
    <w:rsid w:val="08AC6127"/>
    <w:rsid w:val="097C01EF"/>
    <w:rsid w:val="0B3B5918"/>
    <w:rsid w:val="0BF83BD6"/>
    <w:rsid w:val="0C122745"/>
    <w:rsid w:val="0C126BE9"/>
    <w:rsid w:val="0C430BE7"/>
    <w:rsid w:val="0D1E3CD2"/>
    <w:rsid w:val="0D556D8D"/>
    <w:rsid w:val="0DFE11D3"/>
    <w:rsid w:val="0E39220B"/>
    <w:rsid w:val="113118BF"/>
    <w:rsid w:val="171E2D07"/>
    <w:rsid w:val="17B648CC"/>
    <w:rsid w:val="18DB1B18"/>
    <w:rsid w:val="195A0529"/>
    <w:rsid w:val="19D67B51"/>
    <w:rsid w:val="1AA90718"/>
    <w:rsid w:val="1B2D30F7"/>
    <w:rsid w:val="1B5763C6"/>
    <w:rsid w:val="1D152095"/>
    <w:rsid w:val="1D525097"/>
    <w:rsid w:val="1D666D95"/>
    <w:rsid w:val="1DA43327"/>
    <w:rsid w:val="209C2034"/>
    <w:rsid w:val="20A504DF"/>
    <w:rsid w:val="20D81D57"/>
    <w:rsid w:val="21602400"/>
    <w:rsid w:val="222F4654"/>
    <w:rsid w:val="23681D14"/>
    <w:rsid w:val="237F295E"/>
    <w:rsid w:val="249B5576"/>
    <w:rsid w:val="257638ED"/>
    <w:rsid w:val="26975C58"/>
    <w:rsid w:val="274138C0"/>
    <w:rsid w:val="27BA5D13"/>
    <w:rsid w:val="291B121C"/>
    <w:rsid w:val="29354541"/>
    <w:rsid w:val="294E3480"/>
    <w:rsid w:val="296F5223"/>
    <w:rsid w:val="2A8009A9"/>
    <w:rsid w:val="2A97058D"/>
    <w:rsid w:val="2AD417E1"/>
    <w:rsid w:val="2AFF7763"/>
    <w:rsid w:val="2C73502A"/>
    <w:rsid w:val="2C7F577D"/>
    <w:rsid w:val="2D265D43"/>
    <w:rsid w:val="2D5B7F98"/>
    <w:rsid w:val="2DAF5BEE"/>
    <w:rsid w:val="2EB536D8"/>
    <w:rsid w:val="2F875074"/>
    <w:rsid w:val="2FBFFC76"/>
    <w:rsid w:val="2FFC7BB4"/>
    <w:rsid w:val="30357A05"/>
    <w:rsid w:val="308B0B94"/>
    <w:rsid w:val="31235140"/>
    <w:rsid w:val="319A7BD1"/>
    <w:rsid w:val="338337C6"/>
    <w:rsid w:val="35952ADB"/>
    <w:rsid w:val="36575075"/>
    <w:rsid w:val="371A4A20"/>
    <w:rsid w:val="38961E84"/>
    <w:rsid w:val="3A27015C"/>
    <w:rsid w:val="3A3960EF"/>
    <w:rsid w:val="3A483652"/>
    <w:rsid w:val="3AD14283"/>
    <w:rsid w:val="3B0357CB"/>
    <w:rsid w:val="3B463521"/>
    <w:rsid w:val="3B653D90"/>
    <w:rsid w:val="3BFA4E20"/>
    <w:rsid w:val="3C012485"/>
    <w:rsid w:val="3C3C0578"/>
    <w:rsid w:val="3C3F33B4"/>
    <w:rsid w:val="3D3A1978"/>
    <w:rsid w:val="3E574458"/>
    <w:rsid w:val="3F743FC9"/>
    <w:rsid w:val="417E40F4"/>
    <w:rsid w:val="42442951"/>
    <w:rsid w:val="42A6360C"/>
    <w:rsid w:val="451E56DB"/>
    <w:rsid w:val="45367D6E"/>
    <w:rsid w:val="453F38A4"/>
    <w:rsid w:val="45F34DBA"/>
    <w:rsid w:val="46252A99"/>
    <w:rsid w:val="465670F7"/>
    <w:rsid w:val="46E704A1"/>
    <w:rsid w:val="46EB5A91"/>
    <w:rsid w:val="48195A55"/>
    <w:rsid w:val="4907292A"/>
    <w:rsid w:val="49C10D2B"/>
    <w:rsid w:val="49CD557F"/>
    <w:rsid w:val="49F1285C"/>
    <w:rsid w:val="4A2F7D41"/>
    <w:rsid w:val="4B3235B2"/>
    <w:rsid w:val="4B531E57"/>
    <w:rsid w:val="4C257AC2"/>
    <w:rsid w:val="4C4A35E7"/>
    <w:rsid w:val="4C6F4972"/>
    <w:rsid w:val="4D397B3D"/>
    <w:rsid w:val="4D8A666F"/>
    <w:rsid w:val="4DC16DD5"/>
    <w:rsid w:val="4DCC6455"/>
    <w:rsid w:val="4DF53699"/>
    <w:rsid w:val="4EEF1E97"/>
    <w:rsid w:val="4FCD667C"/>
    <w:rsid w:val="50BE5FC4"/>
    <w:rsid w:val="51102E49"/>
    <w:rsid w:val="52195BA8"/>
    <w:rsid w:val="52572F35"/>
    <w:rsid w:val="546F5EAC"/>
    <w:rsid w:val="54907D5A"/>
    <w:rsid w:val="55286102"/>
    <w:rsid w:val="55957A5F"/>
    <w:rsid w:val="55CE6CAA"/>
    <w:rsid w:val="565C42B5"/>
    <w:rsid w:val="56F75D8C"/>
    <w:rsid w:val="571B2E5A"/>
    <w:rsid w:val="572F79C6"/>
    <w:rsid w:val="57763155"/>
    <w:rsid w:val="57CC4F2E"/>
    <w:rsid w:val="58704723"/>
    <w:rsid w:val="58C605A3"/>
    <w:rsid w:val="58D81BED"/>
    <w:rsid w:val="59184543"/>
    <w:rsid w:val="5A2D7EDB"/>
    <w:rsid w:val="5B0A0784"/>
    <w:rsid w:val="5D196891"/>
    <w:rsid w:val="5D467A6D"/>
    <w:rsid w:val="5D6B3030"/>
    <w:rsid w:val="5DE16789"/>
    <w:rsid w:val="5E576A7E"/>
    <w:rsid w:val="5FCA1E07"/>
    <w:rsid w:val="5FD92C57"/>
    <w:rsid w:val="608F1F1C"/>
    <w:rsid w:val="60B151FE"/>
    <w:rsid w:val="61243C22"/>
    <w:rsid w:val="61812E22"/>
    <w:rsid w:val="61895910"/>
    <w:rsid w:val="620B6B90"/>
    <w:rsid w:val="62165C60"/>
    <w:rsid w:val="638766EA"/>
    <w:rsid w:val="64F41B5D"/>
    <w:rsid w:val="64F810B6"/>
    <w:rsid w:val="650049A6"/>
    <w:rsid w:val="65515201"/>
    <w:rsid w:val="682B3AE8"/>
    <w:rsid w:val="698F557F"/>
    <w:rsid w:val="6B43739A"/>
    <w:rsid w:val="6B513865"/>
    <w:rsid w:val="6BB12556"/>
    <w:rsid w:val="6CEC29E0"/>
    <w:rsid w:val="6E9F0D8B"/>
    <w:rsid w:val="6F963F3C"/>
    <w:rsid w:val="6FF45107"/>
    <w:rsid w:val="706846D0"/>
    <w:rsid w:val="706958FE"/>
    <w:rsid w:val="71A05546"/>
    <w:rsid w:val="72111FA0"/>
    <w:rsid w:val="72832248"/>
    <w:rsid w:val="73CB1AEB"/>
    <w:rsid w:val="745C24F1"/>
    <w:rsid w:val="75120509"/>
    <w:rsid w:val="76FA1255"/>
    <w:rsid w:val="77CE623E"/>
    <w:rsid w:val="77DA1086"/>
    <w:rsid w:val="78EA6370"/>
    <w:rsid w:val="78EE303B"/>
    <w:rsid w:val="790068CB"/>
    <w:rsid w:val="795A422D"/>
    <w:rsid w:val="7A0F3269"/>
    <w:rsid w:val="7B969993"/>
    <w:rsid w:val="7BED0AC0"/>
    <w:rsid w:val="7C817D22"/>
    <w:rsid w:val="7D874F94"/>
    <w:rsid w:val="7E375E6F"/>
    <w:rsid w:val="7E845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Times New Roman" w:cstheme="minorBidi"/>
      <w:sz w:val="24"/>
      <w:szCs w:val="24"/>
      <w:lang w:val="en-US" w:eastAsia="uk-UA"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0"/>
    <w:pPr>
      <w:spacing w:before="120"/>
      <w:ind w:firstLine="560"/>
    </w:pPr>
    <w:rPr>
      <w:rFonts w:eastAsia="方正仿宋_GBK" w:cs="Times New Roman"/>
      <w:color w:val="000000"/>
      <w:sz w:val="28"/>
    </w:rPr>
  </w:style>
  <w:style w:type="paragraph" w:styleId="3">
    <w:name w:val="toc 4"/>
    <w:basedOn w:val="1"/>
    <w:next w:val="1"/>
    <w:autoRedefine/>
    <w:qFormat/>
    <w:uiPriority w:val="0"/>
    <w:pPr>
      <w:ind w:left="720"/>
    </w:pPr>
  </w:style>
  <w:style w:type="table" w:styleId="5">
    <w:name w:val="Table Grid"/>
    <w:basedOn w:val="4"/>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单元格样式22"/>
    <w:basedOn w:val="1"/>
    <w:autoRedefine/>
    <w:qFormat/>
    <w:uiPriority w:val="0"/>
    <w:pPr>
      <w:jc w:val="right"/>
    </w:pPr>
    <w:rPr>
      <w:rFonts w:ascii="方正小标宋_GBK" w:hAnsi="方正小标宋_GBK" w:eastAsia="方正小标宋_GBK" w:cs="方正小标宋_GBK"/>
    </w:rPr>
  </w:style>
  <w:style w:type="paragraph" w:customStyle="1" w:styleId="8">
    <w:name w:val="单元格样式21"/>
    <w:basedOn w:val="1"/>
    <w:autoRedefine/>
    <w:qFormat/>
    <w:uiPriority w:val="0"/>
    <w:pPr>
      <w:jc w:val="center"/>
    </w:pPr>
    <w:rPr>
      <w:rFonts w:ascii="方正小标宋_GBK" w:hAnsi="方正小标宋_GBK" w:eastAsia="方正小标宋_GBK" w:cs="方正小标宋_GBK"/>
    </w:rPr>
  </w:style>
  <w:style w:type="paragraph" w:customStyle="1" w:styleId="9">
    <w:name w:val="单元格样式20"/>
    <w:basedOn w:val="1"/>
    <w:autoRedefine/>
    <w:qFormat/>
    <w:uiPriority w:val="0"/>
    <w:rPr>
      <w:rFonts w:ascii="方正小标宋_GBK" w:hAnsi="方正小标宋_GBK" w:eastAsia="方正小标宋_GBK" w:cs="方正小标宋_GBK"/>
    </w:rPr>
  </w:style>
  <w:style w:type="paragraph" w:customStyle="1" w:styleId="10">
    <w:name w:val="单元格样式1"/>
    <w:basedOn w:val="1"/>
    <w:autoRedefine/>
    <w:qFormat/>
    <w:uiPriority w:val="0"/>
    <w:pPr>
      <w:jc w:val="center"/>
    </w:pPr>
    <w:rPr>
      <w:rFonts w:ascii="方正书宋_GBK" w:hAnsi="方正书宋_GBK" w:eastAsia="方正书宋_GBK" w:cs="方正书宋_GBK"/>
      <w:b/>
      <w:sz w:val="21"/>
    </w:rPr>
  </w:style>
  <w:style w:type="paragraph" w:customStyle="1" w:styleId="11">
    <w:name w:val="单元格样式4"/>
    <w:basedOn w:val="1"/>
    <w:autoRedefine/>
    <w:qFormat/>
    <w:uiPriority w:val="0"/>
    <w:pPr>
      <w:jc w:val="right"/>
    </w:pPr>
    <w:rPr>
      <w:rFonts w:ascii="方正书宋_GBK" w:hAnsi="方正书宋_GBK" w:eastAsia="方正书宋_GBK" w:cs="方正书宋_GBK"/>
      <w:sz w:val="21"/>
    </w:rPr>
  </w:style>
  <w:style w:type="paragraph" w:customStyle="1" w:styleId="12">
    <w:name w:val="单元格样式2"/>
    <w:basedOn w:val="1"/>
    <w:autoRedefine/>
    <w:qFormat/>
    <w:uiPriority w:val="0"/>
    <w:rPr>
      <w:rFonts w:ascii="方正书宋_GBK" w:hAnsi="方正书宋_GBK" w:eastAsia="方正书宋_GBK" w:cs="方正书宋_GBK"/>
      <w:sz w:val="21"/>
    </w:rPr>
  </w:style>
  <w:style w:type="paragraph" w:customStyle="1" w:styleId="13">
    <w:name w:val="单元格样式3"/>
    <w:basedOn w:val="1"/>
    <w:autoRedefine/>
    <w:qFormat/>
    <w:uiPriority w:val="0"/>
    <w:pPr>
      <w:jc w:val="center"/>
    </w:pPr>
    <w:rPr>
      <w:rFonts w:ascii="方正书宋_GBK" w:hAnsi="方正书宋_GBK" w:eastAsia="方正书宋_GBK" w:cs="方正书宋_GBK"/>
      <w:sz w:val="21"/>
    </w:rPr>
  </w:style>
  <w:style w:type="paragraph" w:customStyle="1" w:styleId="14">
    <w:name w:val="单元格样式6"/>
    <w:basedOn w:val="1"/>
    <w:autoRedefine/>
    <w:qFormat/>
    <w:uiPriority w:val="0"/>
    <w:pPr>
      <w:jc w:val="center"/>
    </w:pPr>
    <w:rPr>
      <w:rFonts w:ascii="方正书宋_GBK" w:hAnsi="方正书宋_GBK" w:eastAsia="方正书宋_GBK" w:cs="方正书宋_GBK"/>
      <w:b/>
      <w:sz w:val="21"/>
    </w:rPr>
  </w:style>
  <w:style w:type="paragraph" w:customStyle="1" w:styleId="15">
    <w:name w:val="单元格样式7"/>
    <w:basedOn w:val="1"/>
    <w:autoRedefine/>
    <w:qFormat/>
    <w:uiPriority w:val="0"/>
    <w:pPr>
      <w:jc w:val="right"/>
    </w:pPr>
    <w:rPr>
      <w:rFonts w:ascii="方正书宋_GBK" w:hAnsi="方正书宋_GBK" w:eastAsia="方正书宋_GBK" w:cs="方正书宋_GBK"/>
      <w:b/>
      <w:sz w:val="21"/>
    </w:rPr>
  </w:style>
  <w:style w:type="paragraph" w:customStyle="1" w:styleId="16">
    <w:name w:val="单元格样式5"/>
    <w:basedOn w:val="1"/>
    <w:autoRedefine/>
    <w:qFormat/>
    <w:uiPriority w:val="0"/>
    <w:rPr>
      <w:rFonts w:ascii="方正书宋_GBK" w:hAnsi="方正书宋_GBK" w:eastAsia="方正书宋_GBK" w:cs="方正书宋_GBK"/>
      <w:b/>
      <w:sz w:val="21"/>
    </w:rPr>
  </w:style>
  <w:style w:type="paragraph" w:customStyle="1" w:styleId="17">
    <w:name w:val="插入文本样式-插入单位职责文件"/>
    <w:basedOn w:val="1"/>
    <w:autoRedefine/>
    <w:qFormat/>
    <w:uiPriority w:val="0"/>
    <w:pPr>
      <w:spacing w:line="500" w:lineRule="exact"/>
      <w:ind w:firstLine="560"/>
    </w:pPr>
    <w:rPr>
      <w:rFonts w:eastAsia="方正仿宋_GBK" w:cs="Times New Roman"/>
      <w:sz w:val="28"/>
    </w:rPr>
  </w:style>
  <w:style w:type="paragraph" w:customStyle="1" w:styleId="18">
    <w:name w:val="插入文本样式-插入预算公开单位预算安排的总体情况文件"/>
    <w:basedOn w:val="1"/>
    <w:autoRedefine/>
    <w:qFormat/>
    <w:uiPriority w:val="0"/>
    <w:pPr>
      <w:spacing w:line="500" w:lineRule="exact"/>
      <w:ind w:firstLine="560"/>
    </w:pPr>
    <w:rPr>
      <w:rFonts w:eastAsia="方正仿宋_GBK" w:cs="Times New Roman"/>
      <w:sz w:val="28"/>
    </w:rPr>
  </w:style>
  <w:style w:type="paragraph" w:customStyle="1" w:styleId="19">
    <w:name w:val="插入文本样式-插入预算公开单位机关运行经费安排情况文件"/>
    <w:basedOn w:val="1"/>
    <w:autoRedefine/>
    <w:qFormat/>
    <w:uiPriority w:val="0"/>
    <w:pPr>
      <w:spacing w:line="500" w:lineRule="exact"/>
      <w:ind w:firstLine="560"/>
    </w:pPr>
    <w:rPr>
      <w:rFonts w:eastAsia="方正仿宋_GBK" w:cs="Times New Roman"/>
      <w:sz w:val="28"/>
    </w:rPr>
  </w:style>
  <w:style w:type="paragraph" w:customStyle="1" w:styleId="20">
    <w:name w:val="插入文本样式-插入预算公开单位财政拨款三公经费预算情况及增减变化原因文件"/>
    <w:basedOn w:val="1"/>
    <w:autoRedefine/>
    <w:qFormat/>
    <w:uiPriority w:val="0"/>
    <w:pPr>
      <w:spacing w:line="500" w:lineRule="exact"/>
      <w:ind w:firstLine="560"/>
    </w:pPr>
    <w:rPr>
      <w:rFonts w:eastAsia="方正仿宋_GBK" w:cs="Times New Roman"/>
      <w:sz w:val="28"/>
    </w:rPr>
  </w:style>
  <w:style w:type="paragraph" w:customStyle="1" w:styleId="21">
    <w:name w:val="单元格样式23"/>
    <w:basedOn w:val="1"/>
    <w:autoRedefine/>
    <w:qFormat/>
    <w:uiPriority w:val="0"/>
    <w:pPr>
      <w:jc w:val="righ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92</Pages>
  <Words>5581</Words>
  <Characters>31816</Characters>
  <Lines>265</Lines>
  <Paragraphs>74</Paragraphs>
  <TotalTime>1</TotalTime>
  <ScaleCrop>false</ScaleCrop>
  <LinksUpToDate>false</LinksUpToDate>
  <CharactersWithSpaces>37323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2024-02-21T19:30:00Z</dcterms:created>
  <dc:creator>Administrator</dc:creator>
  <cp:lastModifiedBy>NTKO</cp:lastModifiedBy>
  <cp:lastPrinted>2024-02-22T13:53:00Z</cp:lastPrinted>
  <dcterms:modified xsi:type="dcterms:W3CDTF">2024-02-26T09:26:38Z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3DBDA544D62F49E8952C8131E87922ED</vt:lpwstr>
  </property>
</Properties>
</file>